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B201F27" w:rsidR="00A51B18" w:rsidRDefault="007549BA">
      <w:pPr>
        <w:spacing w:after="0" w:line="240" w:lineRule="auto"/>
        <w:jc w:val="center"/>
        <w:rPr>
          <w:rFonts w:ascii="Times New Roman" w:eastAsia="Times New Roman" w:hAnsi="Times New Roman" w:cs="Times New Roman"/>
          <w:b/>
        </w:rPr>
      </w:pPr>
      <w:r w:rsidRPr="007549BA">
        <w:rPr>
          <w:rFonts w:ascii="Times New Roman" w:eastAsia="Times New Roman" w:hAnsi="Times New Roman" w:cs="Times New Roman"/>
          <w:b/>
        </w:rPr>
        <w:t>Flipped Learning and Self-Regulated Learning in ESP Students' Academic Reading: A Critical Review for EAP Material Development</w:t>
      </w:r>
    </w:p>
    <w:p w14:paraId="00000002" w14:textId="77777777" w:rsidR="00A51B18" w:rsidRDefault="00A51B18">
      <w:pPr>
        <w:spacing w:after="0" w:line="240" w:lineRule="auto"/>
        <w:jc w:val="center"/>
        <w:rPr>
          <w:rFonts w:ascii="Times New Roman" w:eastAsia="Times New Roman" w:hAnsi="Times New Roman" w:cs="Times New Roman"/>
        </w:rPr>
      </w:pPr>
    </w:p>
    <w:p w14:paraId="00000003" w14:textId="09559C11" w:rsidR="00A51B18"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Asti Gumartifa</w:t>
      </w:r>
      <w:r w:rsidR="00000000">
        <w:rPr>
          <w:rFonts w:ascii="Times New Roman" w:eastAsia="Times New Roman" w:hAnsi="Times New Roman" w:cs="Times New Roman"/>
          <w:vertAlign w:val="superscript"/>
        </w:rPr>
        <w:t>1</w:t>
      </w:r>
      <w:r w:rsidR="00000000">
        <w:rPr>
          <w:rFonts w:ascii="Times New Roman" w:eastAsia="Times New Roman" w:hAnsi="Times New Roman" w:cs="Times New Roman"/>
        </w:rPr>
        <w:t xml:space="preserve"> </w:t>
      </w:r>
    </w:p>
    <w:p w14:paraId="00000004" w14:textId="70B921E1" w:rsidR="00A51B18"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Sofendi</w:t>
      </w:r>
      <w:r w:rsidR="00000000">
        <w:rPr>
          <w:rFonts w:ascii="Times New Roman" w:eastAsia="Times New Roman" w:hAnsi="Times New Roman" w:cs="Times New Roman"/>
          <w:vertAlign w:val="superscript"/>
        </w:rPr>
        <w:t>2</w:t>
      </w:r>
    </w:p>
    <w:p w14:paraId="00000005" w14:textId="546F0026" w:rsidR="00A51B18"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Rita Inderawati</w:t>
      </w:r>
      <w:r>
        <w:rPr>
          <w:rFonts w:ascii="Times New Roman" w:eastAsia="Times New Roman" w:hAnsi="Times New Roman" w:cs="Times New Roman"/>
          <w:vertAlign w:val="superscript"/>
        </w:rPr>
        <w:t>3</w:t>
      </w:r>
    </w:p>
    <w:p w14:paraId="7436A576" w14:textId="6EE79368" w:rsidR="00A14B8E"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Machdalena Vianty</w:t>
      </w:r>
      <w:r>
        <w:rPr>
          <w:rFonts w:ascii="Times New Roman" w:eastAsia="Times New Roman" w:hAnsi="Times New Roman" w:cs="Times New Roman"/>
          <w:vertAlign w:val="superscript"/>
        </w:rPr>
        <w:t>4</w:t>
      </w:r>
    </w:p>
    <w:p w14:paraId="708B4A46" w14:textId="77777777" w:rsidR="00A14B8E" w:rsidRDefault="00A14B8E">
      <w:pPr>
        <w:spacing w:after="0" w:line="240" w:lineRule="auto"/>
        <w:jc w:val="center"/>
        <w:rPr>
          <w:rFonts w:ascii="Times New Roman" w:eastAsia="Times New Roman" w:hAnsi="Times New Roman" w:cs="Times New Roman"/>
        </w:rPr>
      </w:pPr>
    </w:p>
    <w:p w14:paraId="6A74F0D6" w14:textId="49127756" w:rsidR="00A14B8E" w:rsidRDefault="00000000">
      <w:pPr>
        <w:spacing w:after="0" w:line="240" w:lineRule="auto"/>
        <w:jc w:val="center"/>
        <w:rPr>
          <w:rFonts w:ascii="Times New Roman" w:eastAsia="Times New Roman" w:hAnsi="Times New Roman" w:cs="Times New Roman"/>
        </w:rPr>
      </w:pPr>
      <w:r>
        <w:rPr>
          <w:rFonts w:ascii="Times New Roman" w:eastAsia="Times New Roman" w:hAnsi="Times New Roman" w:cs="Times New Roman"/>
          <w:vertAlign w:val="superscript"/>
        </w:rPr>
        <w:t>1</w:t>
      </w:r>
      <w:r w:rsidR="00A14B8E">
        <w:rPr>
          <w:rFonts w:ascii="Times New Roman" w:eastAsia="Times New Roman" w:hAnsi="Times New Roman" w:cs="Times New Roman"/>
          <w:vertAlign w:val="superscript"/>
        </w:rPr>
        <w:t>,2,3,4</w:t>
      </w:r>
      <w:r>
        <w:rPr>
          <w:rFonts w:ascii="Times New Roman" w:eastAsia="Times New Roman" w:hAnsi="Times New Roman" w:cs="Times New Roman"/>
          <w:vertAlign w:val="superscript"/>
        </w:rPr>
        <w:t xml:space="preserve"> </w:t>
      </w:r>
      <w:r w:rsidR="00A14B8E">
        <w:rPr>
          <w:rFonts w:ascii="Times New Roman" w:eastAsia="Times New Roman" w:hAnsi="Times New Roman" w:cs="Times New Roman"/>
        </w:rPr>
        <w:t xml:space="preserve">Doctoral </w:t>
      </w:r>
      <w:r w:rsidR="0048435C">
        <w:rPr>
          <w:rFonts w:ascii="Times New Roman" w:eastAsia="Times New Roman" w:hAnsi="Times New Roman" w:cs="Times New Roman"/>
        </w:rPr>
        <w:t xml:space="preserve">Program in </w:t>
      </w:r>
      <w:r w:rsidR="00A14B8E">
        <w:rPr>
          <w:rFonts w:ascii="Times New Roman" w:eastAsia="Times New Roman" w:hAnsi="Times New Roman" w:cs="Times New Roman"/>
        </w:rPr>
        <w:t>Education</w:t>
      </w:r>
      <w:r>
        <w:rPr>
          <w:rFonts w:ascii="Times New Roman" w:eastAsia="Times New Roman" w:hAnsi="Times New Roman" w:cs="Times New Roman"/>
        </w:rPr>
        <w:t xml:space="preserve">, </w:t>
      </w:r>
      <w:r w:rsidR="00A14B8E">
        <w:rPr>
          <w:rFonts w:ascii="Times New Roman" w:eastAsia="Times New Roman" w:hAnsi="Times New Roman" w:cs="Times New Roman"/>
        </w:rPr>
        <w:t>Faculty of Teacher Training and Education</w:t>
      </w:r>
      <w:r>
        <w:rPr>
          <w:rFonts w:ascii="Times New Roman" w:eastAsia="Times New Roman" w:hAnsi="Times New Roman" w:cs="Times New Roman"/>
        </w:rPr>
        <w:t xml:space="preserve">, </w:t>
      </w:r>
    </w:p>
    <w:p w14:paraId="00000006" w14:textId="6D22C88E" w:rsidR="00A51B18"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Sriwijaya University</w:t>
      </w:r>
    </w:p>
    <w:p w14:paraId="00000007" w14:textId="64F5A3C5" w:rsidR="00A51B18" w:rsidRDefault="00A14B8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Indonesia</w:t>
      </w:r>
    </w:p>
    <w:p w14:paraId="7F038B28" w14:textId="77777777" w:rsidR="00A14B8E" w:rsidRDefault="00A14B8E">
      <w:pPr>
        <w:spacing w:after="0" w:line="240" w:lineRule="auto"/>
        <w:jc w:val="center"/>
        <w:rPr>
          <w:rFonts w:ascii="Times New Roman" w:eastAsia="Times New Roman" w:hAnsi="Times New Roman" w:cs="Times New Roman"/>
        </w:rPr>
      </w:pPr>
    </w:p>
    <w:p w14:paraId="0000000B" w14:textId="77777777" w:rsidR="00A51B18" w:rsidRDefault="0000000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Abstract</w:t>
      </w:r>
    </w:p>
    <w:p w14:paraId="19FB0892" w14:textId="2A1C9221" w:rsidR="002C328A" w:rsidRPr="002C328A" w:rsidRDefault="002C328A" w:rsidP="002C328A">
      <w:pPr>
        <w:spacing w:after="0" w:line="240" w:lineRule="auto"/>
        <w:jc w:val="both"/>
        <w:rPr>
          <w:rFonts w:ascii="Times New Roman" w:eastAsia="Times New Roman" w:hAnsi="Times New Roman" w:cs="Times New Roman"/>
          <w:sz w:val="22"/>
          <w:szCs w:val="22"/>
          <w:lang w:val="en-US"/>
        </w:rPr>
      </w:pPr>
      <w:r w:rsidRPr="002C328A">
        <w:rPr>
          <w:rFonts w:ascii="Times New Roman" w:eastAsia="Times New Roman" w:hAnsi="Times New Roman" w:cs="Times New Roman"/>
          <w:sz w:val="22"/>
          <w:szCs w:val="22"/>
          <w:lang w:val="en-US"/>
        </w:rPr>
        <w:t xml:space="preserve">This article aims to critically examine empirical evidence regarding the application of flipped learning and self-regulated learning (SRL) in the academic reading of students in management study programs at universities and to formulate implications for the development of English for Academic Purposes (EAP) teaching materials.  Using a narrative-critical review methodology, this study looks at pertinent primary and review papers in four key areas: flipped learning, SRL, EAP, and university-level reading </w:t>
      </w:r>
      <w:r w:rsidRPr="002C328A">
        <w:rPr>
          <w:rFonts w:ascii="Times New Roman" w:eastAsia="Times New Roman" w:hAnsi="Times New Roman" w:cs="Times New Roman"/>
          <w:sz w:val="22"/>
          <w:szCs w:val="22"/>
          <w:lang w:val="en-US"/>
        </w:rPr>
        <w:t>teaching. The</w:t>
      </w:r>
      <w:r w:rsidRPr="002C328A">
        <w:rPr>
          <w:rFonts w:ascii="Times New Roman" w:eastAsia="Times New Roman" w:hAnsi="Times New Roman" w:cs="Times New Roman"/>
          <w:sz w:val="22"/>
          <w:szCs w:val="22"/>
          <w:lang w:val="en-US"/>
        </w:rPr>
        <w:t xml:space="preserve"> overall findings show that flipped learning generally improves language learning outcomes, while the quality of the instructional design greatly influences how effective it is. </w:t>
      </w:r>
      <w:r w:rsidRPr="002C328A">
        <w:rPr>
          <w:rFonts w:ascii="Times New Roman" w:eastAsia="Times New Roman" w:hAnsi="Times New Roman" w:cs="Times New Roman"/>
          <w:sz w:val="22"/>
          <w:szCs w:val="22"/>
          <w:lang w:val="en-US"/>
        </w:rPr>
        <w:t>Literature</w:t>
      </w:r>
      <w:r w:rsidRPr="002C328A">
        <w:rPr>
          <w:rFonts w:ascii="Times New Roman" w:eastAsia="Times New Roman" w:hAnsi="Times New Roman" w:cs="Times New Roman"/>
          <w:sz w:val="22"/>
          <w:szCs w:val="22"/>
          <w:lang w:val="en-US"/>
        </w:rPr>
        <w:t xml:space="preserve"> continuously highlights how important it is to use in-person time for meaningful learning activities, give comprehension tests prior to class, and specifically incorporate SRL support into the learning process. Flipped learning generally enhances student engagement, learning methodologies, and reading comprehension. However, studies specifically focusing on the academic reading of ESP students in higher education are still relatively limited. Other gaps are evident in the lack of detailed reporting of pedagogical design, the limited use of authentic disciplinary materials, and the lack of longitudinal studies. Based on these findings, this article confirms that flipped learning and SRL have the potential to be a strong pedagogical foundation for the development of more contextual, authentic, strategic, and sustainable EAP materials.</w:t>
      </w:r>
    </w:p>
    <w:p w14:paraId="7C83FE9A" w14:textId="4E8478EB" w:rsidR="00CA34C3" w:rsidRPr="00CA34C3" w:rsidRDefault="00CA34C3" w:rsidP="00CA34C3">
      <w:pPr>
        <w:spacing w:after="0" w:line="240" w:lineRule="auto"/>
        <w:jc w:val="both"/>
        <w:rPr>
          <w:rFonts w:ascii="Times New Roman" w:eastAsia="Times New Roman" w:hAnsi="Times New Roman" w:cs="Times New Roman"/>
          <w:sz w:val="22"/>
          <w:szCs w:val="22"/>
          <w:lang w:val="en-US"/>
        </w:rPr>
      </w:pPr>
    </w:p>
    <w:p w14:paraId="0000000C" w14:textId="6ECB5E0B" w:rsidR="00A51B18" w:rsidRDefault="00A51B18">
      <w:pPr>
        <w:spacing w:after="0" w:line="240" w:lineRule="auto"/>
        <w:jc w:val="both"/>
        <w:rPr>
          <w:rFonts w:ascii="Times New Roman" w:eastAsia="Times New Roman" w:hAnsi="Times New Roman" w:cs="Times New Roman"/>
        </w:rPr>
      </w:pPr>
    </w:p>
    <w:p w14:paraId="0000000D" w14:textId="77777777" w:rsidR="00A51B18" w:rsidRDefault="00A51B18">
      <w:pPr>
        <w:spacing w:after="0" w:line="240" w:lineRule="auto"/>
        <w:jc w:val="both"/>
        <w:rPr>
          <w:rFonts w:ascii="Times New Roman" w:eastAsia="Times New Roman" w:hAnsi="Times New Roman" w:cs="Times New Roman"/>
        </w:rPr>
      </w:pPr>
    </w:p>
    <w:p w14:paraId="0000000E" w14:textId="14005A8A" w:rsidR="00A51B18"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Keywords</w:t>
      </w:r>
      <w:r>
        <w:rPr>
          <w:rFonts w:ascii="Times New Roman" w:eastAsia="Times New Roman" w:hAnsi="Times New Roman" w:cs="Times New Roman"/>
        </w:rPr>
        <w:t xml:space="preserve">: </w:t>
      </w:r>
      <w:r w:rsidR="002C328A" w:rsidRPr="002C328A">
        <w:rPr>
          <w:rFonts w:ascii="Times New Roman" w:eastAsia="Times New Roman" w:hAnsi="Times New Roman" w:cs="Times New Roman"/>
          <w:i/>
          <w:iCs/>
        </w:rPr>
        <w:t>academic reading</w:t>
      </w:r>
      <w:r w:rsidR="002C328A">
        <w:rPr>
          <w:rFonts w:ascii="Times New Roman" w:eastAsia="Times New Roman" w:hAnsi="Times New Roman" w:cs="Times New Roman"/>
          <w:i/>
        </w:rPr>
        <w:t xml:space="preserve">; </w:t>
      </w:r>
      <w:r w:rsidR="002C328A" w:rsidRPr="002C328A">
        <w:rPr>
          <w:rFonts w:ascii="Times New Roman" w:eastAsia="Times New Roman" w:hAnsi="Times New Roman" w:cs="Times New Roman"/>
          <w:i/>
          <w:iCs/>
        </w:rPr>
        <w:t>flipped learning</w:t>
      </w:r>
      <w:r w:rsidR="002C328A" w:rsidRPr="002C328A">
        <w:rPr>
          <w:rFonts w:ascii="Times New Roman" w:eastAsia="Times New Roman" w:hAnsi="Times New Roman" w:cs="Times New Roman"/>
          <w:i/>
        </w:rPr>
        <w:t xml:space="preserve">; </w:t>
      </w:r>
      <w:r w:rsidR="00345649">
        <w:rPr>
          <w:rFonts w:ascii="Times New Roman" w:eastAsia="Times New Roman" w:hAnsi="Times New Roman" w:cs="Times New Roman"/>
          <w:i/>
        </w:rPr>
        <w:t xml:space="preserve">material development; </w:t>
      </w:r>
      <w:r w:rsidR="002C328A" w:rsidRPr="002C328A">
        <w:rPr>
          <w:rFonts w:ascii="Times New Roman" w:eastAsia="Times New Roman" w:hAnsi="Times New Roman" w:cs="Times New Roman"/>
          <w:i/>
          <w:iCs/>
        </w:rPr>
        <w:t>self-regulated learning</w:t>
      </w:r>
    </w:p>
    <w:p w14:paraId="0000000F" w14:textId="77777777" w:rsidR="00A51B18" w:rsidRDefault="0000000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00000010" w14:textId="77777777" w:rsidR="00A51B18" w:rsidRDefault="00A51B18">
      <w:pPr>
        <w:spacing w:after="0" w:line="240" w:lineRule="auto"/>
        <w:jc w:val="center"/>
        <w:rPr>
          <w:rFonts w:ascii="Times New Roman" w:eastAsia="Times New Roman" w:hAnsi="Times New Roman" w:cs="Times New Roman"/>
        </w:rPr>
      </w:pPr>
    </w:p>
    <w:sectPr w:rsidR="00A51B18">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B4A7416-5CEC-4D47-A9F5-4DDC7183C9E5}"/>
    <w:embedItalic r:id="rId2" w:fontKey="{E40CF2E2-6440-49E1-B3EA-F26C334039DD}"/>
  </w:font>
  <w:font w:name="Aptos Display">
    <w:charset w:val="00"/>
    <w:family w:val="swiss"/>
    <w:pitch w:val="variable"/>
    <w:sig w:usb0="20000287" w:usb1="00000003" w:usb2="00000000" w:usb3="00000000" w:csb0="0000019F" w:csb1="00000000"/>
    <w:embedRegular r:id="rId3" w:fontKey="{CFCEBB3B-DCCE-448A-9AF6-DAA47E8ABAF8}"/>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18"/>
    <w:rsid w:val="002C328A"/>
    <w:rsid w:val="00345649"/>
    <w:rsid w:val="0048435C"/>
    <w:rsid w:val="007549BA"/>
    <w:rsid w:val="008A0372"/>
    <w:rsid w:val="008B7210"/>
    <w:rsid w:val="00A14B8E"/>
    <w:rsid w:val="00A51B18"/>
    <w:rsid w:val="00C6150B"/>
    <w:rsid w:val="00CA3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CA8F7"/>
  <w15:docId w15:val="{5BC60429-D735-4B36-BD2C-3655B12A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ID"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253</Words>
  <Characters>1716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Asti_Gumartifa</cp:lastModifiedBy>
  <cp:revision>4</cp:revision>
  <dcterms:created xsi:type="dcterms:W3CDTF">2026-04-14T13:54:00Z</dcterms:created>
  <dcterms:modified xsi:type="dcterms:W3CDTF">2026-04-14T14:12:00Z</dcterms:modified>
</cp:coreProperties>
</file>